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C4DBB">
      <w:pPr>
        <w:pStyle w:val="5"/>
        <w:keepNext w:val="0"/>
        <w:keepLines w:val="0"/>
        <w:widowControl/>
        <w:suppressLineNumbers w:val="0"/>
        <w:spacing w:line="555" w:lineRule="atLeast"/>
        <w:jc w:val="center"/>
      </w:pPr>
      <w:r>
        <w:rPr>
          <w:rFonts w:ascii="方正小标宋简体" w:hAnsi="方正小标宋简体" w:eastAsia="方正小标宋简体" w:cs="方正小标宋简体"/>
          <w:sz w:val="43"/>
          <w:szCs w:val="43"/>
          <w:shd w:val="clear" w:fill="FFFFFF"/>
        </w:rPr>
        <w:br w:type="textWrapping"/>
      </w:r>
      <w:r>
        <w:rPr>
          <w:rFonts w:hint="eastAsia" w:ascii="方正小标宋简体" w:hAnsi="方正小标宋简体" w:eastAsia="方正小标宋简体" w:cs="方正小标宋简体"/>
          <w:sz w:val="43"/>
          <w:szCs w:val="43"/>
          <w:shd w:val="clear" w:fill="FFFFFF"/>
        </w:rPr>
        <w:t> </w:t>
      </w:r>
    </w:p>
    <w:p w14:paraId="177360E0">
      <w:pPr>
        <w:pStyle w:val="5"/>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shd w:val="clear" w:fill="FFFFFF"/>
        </w:rPr>
        <w:t> </w:t>
      </w:r>
    </w:p>
    <w:p w14:paraId="6A41C2F2">
      <w:pPr>
        <w:pStyle w:val="5"/>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shd w:val="clear" w:fill="FFFFFF"/>
        </w:rPr>
        <w:t>2025年建筑施工企业“安管人员”继续教育培训大纲</w:t>
      </w:r>
    </w:p>
    <w:p w14:paraId="5361E62C">
      <w:pPr>
        <w:pStyle w:val="5"/>
        <w:keepNext w:val="0"/>
        <w:keepLines w:val="0"/>
        <w:widowControl/>
        <w:suppressLineNumbers w:val="0"/>
        <w:spacing w:line="315" w:lineRule="atLeast"/>
      </w:pPr>
      <w:r>
        <w:rPr>
          <w:rFonts w:ascii="黑体" w:hAnsi="宋体" w:eastAsia="黑体" w:cs="黑体"/>
          <w:sz w:val="31"/>
          <w:szCs w:val="31"/>
          <w:shd w:val="clear" w:fill="FFFFFF"/>
        </w:rPr>
        <w:t> </w:t>
      </w:r>
    </w:p>
    <w:p w14:paraId="24181DE0">
      <w:pPr>
        <w:pStyle w:val="5"/>
        <w:keepNext w:val="0"/>
        <w:keepLines w:val="0"/>
        <w:widowControl/>
        <w:suppressLineNumbers w:val="0"/>
        <w:spacing w:line="315" w:lineRule="atLeast"/>
        <w:ind w:left="0" w:firstLine="645"/>
      </w:pPr>
      <w:r>
        <w:rPr>
          <w:rFonts w:hint="eastAsia" w:ascii="黑体" w:hAnsi="宋体" w:eastAsia="黑体" w:cs="黑体"/>
          <w:sz w:val="31"/>
          <w:szCs w:val="31"/>
        </w:rPr>
        <w:t>一、国家领导人关于安全生产的工作要求</w:t>
      </w:r>
    </w:p>
    <w:p w14:paraId="72ACA3AC">
      <w:pPr>
        <w:pStyle w:val="5"/>
        <w:keepNext w:val="0"/>
        <w:keepLines w:val="0"/>
        <w:widowControl/>
        <w:suppressLineNumbers w:val="0"/>
        <w:spacing w:line="315" w:lineRule="atLeast"/>
        <w:ind w:left="0" w:firstLine="645"/>
      </w:pPr>
      <w:r>
        <w:rPr>
          <w:rFonts w:ascii="仿宋_GB2312" w:eastAsia="仿宋_GB2312" w:cs="仿宋_GB2312"/>
          <w:sz w:val="31"/>
          <w:szCs w:val="31"/>
        </w:rPr>
        <w:t>习近平总书记关于安全生产的重要论述和近三年关于重特大生产安全事故的重要指示批示精神。</w:t>
      </w:r>
    </w:p>
    <w:p w14:paraId="622F0A3D">
      <w:pPr>
        <w:pStyle w:val="5"/>
        <w:keepNext w:val="0"/>
        <w:keepLines w:val="0"/>
        <w:widowControl/>
        <w:suppressLineNumbers w:val="0"/>
        <w:spacing w:line="315" w:lineRule="atLeast"/>
        <w:ind w:left="0" w:firstLine="645"/>
      </w:pPr>
      <w:r>
        <w:rPr>
          <w:rFonts w:hint="eastAsia" w:ascii="黑体" w:hAnsi="宋体" w:eastAsia="黑体" w:cs="黑体"/>
          <w:sz w:val="31"/>
          <w:szCs w:val="31"/>
        </w:rPr>
        <w:t>二、国家关于安全生产的相关法律法规</w:t>
      </w:r>
    </w:p>
    <w:p w14:paraId="58C3E42D">
      <w:pPr>
        <w:pStyle w:val="5"/>
        <w:keepNext w:val="0"/>
        <w:keepLines w:val="0"/>
        <w:widowControl/>
        <w:suppressLineNumbers w:val="0"/>
        <w:spacing w:line="315" w:lineRule="atLeast"/>
        <w:ind w:left="0" w:firstLine="645"/>
      </w:pPr>
      <w:r>
        <w:rPr>
          <w:rFonts w:hint="eastAsia" w:ascii="仿宋_GB2312" w:eastAsia="仿宋_GB2312" w:cs="仿宋_GB2312"/>
          <w:sz w:val="31"/>
          <w:szCs w:val="31"/>
        </w:rPr>
        <w:t>包括但不限于《中华人民共和国安全生产法》、《中华人民共和国建筑法》、《中华人民共和国消防法》、《建设工程安全生产管理条例》、《生产安全事故报告和调查处理条例》、《生产安全事故罚款处罚规定》、《建筑施工企业安全生产许可证管理规定》、《建筑施工企业主要负责人、项目负责人和专职安全生产管理人员安全生产管理规定》、《危险性较大的分部分项工程安全管理规定》、《住房和城乡建设部办公厅关于印发危险性较大的分部分项工程专项施工方案编制指南的通知》、《危险性较大的分部分项工程专项施工方案严重缺陷清单（试行）》、《房屋市政工程生产安全重大事故隐患判定标准》（</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版）。</w:t>
      </w:r>
    </w:p>
    <w:p w14:paraId="634FD36D">
      <w:pPr>
        <w:pStyle w:val="5"/>
        <w:keepNext w:val="0"/>
        <w:keepLines w:val="0"/>
        <w:widowControl/>
        <w:suppressLineNumbers w:val="0"/>
        <w:spacing w:line="315" w:lineRule="atLeast"/>
        <w:ind w:left="0" w:firstLine="645"/>
      </w:pPr>
      <w:r>
        <w:rPr>
          <w:rFonts w:hint="eastAsia" w:ascii="黑体" w:hAnsi="宋体" w:eastAsia="黑体" w:cs="黑体"/>
          <w:sz w:val="31"/>
          <w:szCs w:val="31"/>
        </w:rPr>
        <w:t>三、我市关于安全生产的相关法律法规</w:t>
      </w:r>
    </w:p>
    <w:p w14:paraId="56FBBBF6">
      <w:pPr>
        <w:pStyle w:val="5"/>
        <w:keepNext w:val="0"/>
        <w:keepLines w:val="0"/>
        <w:widowControl/>
        <w:suppressLineNumbers w:val="0"/>
        <w:spacing w:line="315" w:lineRule="atLeast"/>
        <w:ind w:left="0" w:firstLine="645"/>
      </w:pPr>
      <w:r>
        <w:rPr>
          <w:rFonts w:hint="eastAsia" w:ascii="仿宋_GB2312" w:eastAsia="仿宋_GB2312" w:cs="仿宋_GB2312"/>
          <w:sz w:val="31"/>
          <w:szCs w:val="31"/>
        </w:rPr>
        <w:t>包括但不限于《天津市安全生产条例》、《天津市生产经营单位安全生产主体责任规定》、《天津市建设工程文明施工管理规定》、《天津市消防安全责任制规定》、《关于建立完善房屋建筑和市政基础设施工程施工风险分级管控和隐患排查治理双重预防机制的通知》、《天津市房屋建筑和市政基础设施工程危险性较大的分部分项工程安全管理办法》、《天津市房屋建筑和市政基础设施工程危险性较大的分部分项工程安全管理办法》、《关于印发建筑企业相关人员岗位安全职责指引的通知》、《建筑企业相关人员岗位安全职责指引》、《关于进一步加强高处坠落事故防范工作的通知》、《天津市工程质量安全手册实施细则（试行）》、《关于正式启用建设工程执法监督和建设项目工地管理平台的通知》、《关于落实安全生产“逢查必考”工作机制有关事项的通知》、《关于加强建筑施工领域特种作业人员安全管理工作的通知》、《关于进一步加强专职安全生产管理人员管理的通知》、《关于进一步加强施工现场管理人员履职管理有关问题的通知》、《关于推动建筑施工企业建立完善事故隐患内部报告奖励制度的通知》、《关于进一步强化施工现场小型机具安全管理的通知》、《关于加强施工现场电动自行车安全管理工作的通知》、《关于进一步加强建筑起重机械安全管理的通知》。</w:t>
      </w:r>
    </w:p>
    <w:p w14:paraId="2CB0622F">
      <w:pPr>
        <w:pStyle w:val="5"/>
        <w:keepNext w:val="0"/>
        <w:keepLines w:val="0"/>
        <w:widowControl/>
        <w:suppressLineNumbers w:val="0"/>
        <w:spacing w:line="315" w:lineRule="atLeast"/>
        <w:ind w:left="0" w:firstLine="645"/>
      </w:pPr>
      <w:r>
        <w:rPr>
          <w:rFonts w:hint="eastAsia" w:ascii="黑体" w:hAnsi="宋体" w:eastAsia="黑体" w:cs="黑体"/>
          <w:sz w:val="31"/>
          <w:szCs w:val="31"/>
        </w:rPr>
        <w:t>四、建筑行业施工安全标准规范</w:t>
      </w:r>
    </w:p>
    <w:p w14:paraId="4576BF13">
      <w:pPr>
        <w:pStyle w:val="5"/>
        <w:keepNext w:val="0"/>
        <w:keepLines w:val="0"/>
        <w:widowControl/>
        <w:suppressLineNumbers w:val="0"/>
        <w:spacing w:line="315" w:lineRule="atLeast"/>
        <w:ind w:left="0" w:firstLine="645"/>
      </w:pPr>
      <w:r>
        <w:rPr>
          <w:rFonts w:hint="eastAsia" w:ascii="仿宋_GB2312" w:eastAsia="仿宋_GB2312" w:cs="仿宋_GB2312"/>
          <w:sz w:val="31"/>
          <w:szCs w:val="31"/>
        </w:rPr>
        <w:t>包括但不限于《建筑与市政施工现场安全卫生与职业健康通用规范》、《建筑施工安全生产标准化考评暂行办法》、《建筑深基坑工程施工安全技术规范》、《建筑施工门式钢管脚手架安全技术标准》、《建筑施工碗扣式钢管脚手架安全技术规范》、《建筑施工扣件式钢管脚手架安全技术规范》、《有限空间作业安全技术规范》、《建设工程施工现场消防安全技术规范》、《建筑与市政工程施工现场临时用电安全技术标准》、《建筑拆除工程安全技术规范》。</w:t>
      </w:r>
    </w:p>
    <w:p w14:paraId="136690B5">
      <w:pPr>
        <w:pStyle w:val="5"/>
        <w:keepNext w:val="0"/>
        <w:keepLines w:val="0"/>
        <w:widowControl/>
        <w:suppressLineNumbers w:val="0"/>
        <w:spacing w:line="315" w:lineRule="atLeast"/>
        <w:ind w:left="0" w:firstLine="645"/>
      </w:pPr>
      <w:r>
        <w:rPr>
          <w:rFonts w:hint="eastAsia" w:ascii="黑体" w:hAnsi="宋体" w:eastAsia="黑体" w:cs="黑体"/>
          <w:sz w:val="31"/>
          <w:szCs w:val="31"/>
        </w:rPr>
        <w:t>五、近年我市关于安全生产的主要工作</w:t>
      </w:r>
    </w:p>
    <w:p w14:paraId="7CA9DAC3">
      <w:pPr>
        <w:pStyle w:val="5"/>
        <w:keepNext w:val="0"/>
        <w:keepLines w:val="0"/>
        <w:widowControl/>
        <w:suppressLineNumbers w:val="0"/>
        <w:spacing w:line="315" w:lineRule="atLeast"/>
        <w:ind w:left="0" w:firstLine="645"/>
      </w:pPr>
      <w:r>
        <w:rPr>
          <w:rFonts w:hint="eastAsia" w:ascii="仿宋_GB2312" w:eastAsia="仿宋_GB2312" w:cs="仿宋_GB2312"/>
          <w:sz w:val="31"/>
          <w:szCs w:val="31"/>
        </w:rPr>
        <w:t>包括但不限于住建部《住房城乡建设系统安全生产治本攻坚三年行动方案（</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2026</w:t>
      </w:r>
      <w:r>
        <w:rPr>
          <w:rFonts w:hint="eastAsia" w:ascii="仿宋_GB2312" w:eastAsia="仿宋_GB2312" w:cs="仿宋_GB2312"/>
          <w:sz w:val="31"/>
          <w:szCs w:val="31"/>
        </w:rPr>
        <w:t>年）》、《住房城乡建设部关于开展房屋市政工程安全生产治本攻坚三年行动的通知》、《天津市住建领域安全生产治本攻坚三年行动方案（</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2026</w:t>
      </w:r>
      <w:r>
        <w:rPr>
          <w:rFonts w:hint="eastAsia" w:ascii="仿宋_GB2312" w:eastAsia="仿宋_GB2312" w:cs="仿宋_GB2312"/>
          <w:sz w:val="31"/>
          <w:szCs w:val="31"/>
        </w:rPr>
        <w:t>年）》、《天津市住建领域安全生产治本攻坚三年行动</w:t>
      </w:r>
      <w:r>
        <w:rPr>
          <w:rFonts w:hint="default" w:ascii="Times New Roman" w:hAnsi="Times New Roman" w:eastAsia="仿宋_GB2312" w:cs="Times New Roman"/>
          <w:sz w:val="31"/>
          <w:szCs w:val="31"/>
        </w:rPr>
        <w:t>2025</w:t>
      </w:r>
      <w:r>
        <w:rPr>
          <w:rFonts w:hint="eastAsia" w:ascii="仿宋_GB2312" w:eastAsia="仿宋_GB2312" w:cs="仿宋_GB2312"/>
          <w:sz w:val="31"/>
          <w:szCs w:val="31"/>
        </w:rPr>
        <w:t>年集中攻坚阶段工作方案》。</w:t>
      </w:r>
    </w:p>
    <w:p w14:paraId="2B1C3A2E">
      <w:pPr>
        <w:pStyle w:val="5"/>
        <w:keepNext w:val="0"/>
        <w:keepLines w:val="0"/>
        <w:widowControl/>
        <w:suppressLineNumbers w:val="0"/>
        <w:spacing w:line="315" w:lineRule="atLeast"/>
        <w:ind w:left="0" w:firstLine="645"/>
      </w:pPr>
      <w:r>
        <w:rPr>
          <w:rFonts w:hint="eastAsia" w:ascii="黑体" w:hAnsi="宋体" w:eastAsia="黑体" w:cs="黑体"/>
          <w:sz w:val="31"/>
          <w:szCs w:val="31"/>
        </w:rPr>
        <w:t>六、我市关于燃气等地下管线保护的政策要求</w:t>
      </w:r>
    </w:p>
    <w:p w14:paraId="52DFEC78">
      <w:pPr>
        <w:pStyle w:val="5"/>
        <w:keepNext w:val="0"/>
        <w:keepLines w:val="0"/>
        <w:widowControl/>
        <w:suppressLineNumbers w:val="0"/>
        <w:spacing w:line="315" w:lineRule="atLeast"/>
        <w:ind w:left="0" w:firstLine="645"/>
      </w:pPr>
      <w:r>
        <w:rPr>
          <w:rFonts w:hint="eastAsia" w:ascii="仿宋_GB2312" w:eastAsia="仿宋_GB2312" w:cs="仿宋_GB2312"/>
          <w:sz w:val="31"/>
          <w:szCs w:val="31"/>
        </w:rPr>
        <w:t>包括但不限于《市安委会办公室关于进一步加强地下管线保护工作的通知》、《市住房城乡建设委市政务服务办关于在建筑施工许可审批中强化地下管线保护“八个一律”工作措施的通知》、《天津市防范施工外力破坏燃气等地下管线专项排查整治工作方案》、《市住房城乡建设委关于进一步加强防范施工外力破坏燃气管线排查整治工作的通知》。</w:t>
      </w:r>
    </w:p>
    <w:p w14:paraId="65F5C227">
      <w:pPr>
        <w:pStyle w:val="5"/>
        <w:keepNext w:val="0"/>
        <w:keepLines w:val="0"/>
        <w:widowControl/>
        <w:suppressLineNumbers w:val="0"/>
        <w:spacing w:line="315" w:lineRule="atLeast"/>
        <w:ind w:left="0" w:firstLine="645"/>
      </w:pPr>
      <w:r>
        <w:rPr>
          <w:rFonts w:hint="eastAsia" w:ascii="黑体" w:hAnsi="宋体" w:eastAsia="黑体" w:cs="黑体"/>
          <w:sz w:val="31"/>
          <w:szCs w:val="31"/>
        </w:rPr>
        <w:t>七、我市其他行业与建筑施工安全生产有关的政策要求</w:t>
      </w:r>
    </w:p>
    <w:p w14:paraId="66789C4C">
      <w:pPr>
        <w:pStyle w:val="5"/>
        <w:keepNext w:val="0"/>
        <w:keepLines w:val="0"/>
        <w:widowControl/>
        <w:suppressLineNumbers w:val="0"/>
        <w:spacing w:line="315" w:lineRule="atLeast"/>
        <w:ind w:left="0" w:firstLine="645"/>
      </w:pPr>
      <w:r>
        <w:rPr>
          <w:rFonts w:hint="default" w:ascii="Times New Roman" w:hAnsi="Times New Roman" w:eastAsia="仿宋_GB2312" w:cs="Times New Roman"/>
          <w:sz w:val="31"/>
          <w:szCs w:val="31"/>
        </w:rPr>
        <w:t>1</w:t>
      </w:r>
      <w:r>
        <w:rPr>
          <w:rFonts w:hint="eastAsia" w:ascii="仿宋_GB2312" w:eastAsia="仿宋_GB2312" w:cs="仿宋_GB2312"/>
          <w:sz w:val="31"/>
          <w:szCs w:val="31"/>
        </w:rPr>
        <w:t>、消防安全管理。包括但不限于《天津市建设工程消防验收、备案和抽查工作实施细则》、《天津市消防条例》、《天津市消防安全责任制规定》、《天津市高层建筑消防安全管理规定》。</w:t>
      </w:r>
    </w:p>
    <w:p w14:paraId="04052D77">
      <w:pPr>
        <w:pStyle w:val="5"/>
        <w:keepNext w:val="0"/>
        <w:keepLines w:val="0"/>
        <w:widowControl/>
        <w:suppressLineNumbers w:val="0"/>
        <w:spacing w:line="315" w:lineRule="atLeast"/>
        <w:ind w:left="0" w:firstLine="645"/>
      </w:pPr>
      <w:r>
        <w:rPr>
          <w:rFonts w:hint="default" w:ascii="Times New Roman" w:hAnsi="Times New Roman" w:eastAsia="仿宋_GB2312" w:cs="Times New Roman"/>
          <w:sz w:val="31"/>
          <w:szCs w:val="31"/>
        </w:rPr>
        <w:t>2</w:t>
      </w:r>
      <w:r>
        <w:rPr>
          <w:rFonts w:hint="eastAsia" w:ascii="仿宋_GB2312" w:eastAsia="仿宋_GB2312" w:cs="仿宋_GB2312"/>
          <w:sz w:val="31"/>
          <w:szCs w:val="31"/>
        </w:rPr>
        <w:t>、食品安全管理。包括但不限于《中华人民共和国食品安全法》、《食品安全法实施条例》、《中共天津市委天津市人民政府印发＜关于进一步加强食品安全管理工作的措施＞的通知》。</w:t>
      </w:r>
    </w:p>
    <w:p w14:paraId="186B1782">
      <w:pPr>
        <w:pStyle w:val="5"/>
        <w:keepNext w:val="0"/>
        <w:keepLines w:val="0"/>
        <w:widowControl/>
        <w:suppressLineNumbers w:val="0"/>
        <w:spacing w:line="315" w:lineRule="atLeast"/>
        <w:ind w:left="0" w:firstLine="645"/>
      </w:pPr>
      <w:r>
        <w:rPr>
          <w:rFonts w:hint="eastAsia" w:ascii="黑体" w:hAnsi="宋体" w:eastAsia="黑体" w:cs="黑体"/>
          <w:sz w:val="31"/>
          <w:szCs w:val="31"/>
        </w:rPr>
        <w:t>八、典型事故案例分析</w:t>
      </w:r>
    </w:p>
    <w:p w14:paraId="78C027BC">
      <w:pPr>
        <w:pStyle w:val="5"/>
        <w:keepNext w:val="0"/>
        <w:keepLines w:val="0"/>
        <w:widowControl/>
        <w:suppressLineNumbers w:val="0"/>
        <w:spacing w:line="315" w:lineRule="atLeast"/>
        <w:ind w:left="0" w:firstLine="645"/>
      </w:pPr>
      <w:r>
        <w:rPr>
          <w:rFonts w:hint="default" w:ascii="Times New Roman" w:hAnsi="Times New Roman" w:eastAsia="仿宋_GB2312" w:cs="Times New Roman"/>
          <w:sz w:val="31"/>
          <w:szCs w:val="31"/>
        </w:rPr>
        <w:t>1</w:t>
      </w:r>
      <w:r>
        <w:rPr>
          <w:rFonts w:hint="eastAsia" w:ascii="仿宋_GB2312" w:eastAsia="仿宋_GB2312" w:cs="仿宋_GB2312"/>
          <w:sz w:val="31"/>
          <w:szCs w:val="31"/>
        </w:rPr>
        <w:t>、建筑施工安全事故。包括但不限于《北京丰台长峰医院“</w:t>
      </w:r>
      <w:r>
        <w:rPr>
          <w:rFonts w:hint="default" w:ascii="Times New Roman" w:hAnsi="Times New Roman" w:eastAsia="仿宋_GB2312" w:cs="Times New Roman"/>
          <w:sz w:val="31"/>
          <w:szCs w:val="31"/>
        </w:rPr>
        <w:t>4</w:t>
      </w:r>
      <w:r>
        <w:rPr>
          <w:rFonts w:hint="eastAsia" w:ascii="仿宋_GB2312" w:eastAsia="仿宋_GB2312" w:cs="仿宋_GB2312"/>
          <w:sz w:val="31"/>
          <w:szCs w:val="31"/>
        </w:rPr>
        <w:t>·</w:t>
      </w:r>
      <w:r>
        <w:rPr>
          <w:rFonts w:hint="default" w:ascii="Times New Roman" w:hAnsi="Times New Roman" w:eastAsia="仿宋_GB2312" w:cs="Times New Roman"/>
          <w:sz w:val="31"/>
          <w:szCs w:val="31"/>
        </w:rPr>
        <w:t>18</w:t>
      </w:r>
      <w:r>
        <w:rPr>
          <w:rFonts w:hint="eastAsia" w:ascii="仿宋_GB2312" w:eastAsia="仿宋_GB2312" w:cs="仿宋_GB2312"/>
          <w:sz w:val="31"/>
          <w:szCs w:val="31"/>
        </w:rPr>
        <w:t>”重大火灾事故调查报告》、《北京丰台长峰医院“</w:t>
      </w:r>
      <w:r>
        <w:rPr>
          <w:rFonts w:hint="default" w:ascii="Times New Roman" w:hAnsi="Times New Roman" w:eastAsia="仿宋_GB2312" w:cs="Times New Roman"/>
          <w:sz w:val="31"/>
          <w:szCs w:val="31"/>
        </w:rPr>
        <w:t>4</w:t>
      </w:r>
      <w:r>
        <w:rPr>
          <w:rFonts w:hint="eastAsia" w:ascii="仿宋_GB2312" w:eastAsia="仿宋_GB2312" w:cs="仿宋_GB2312"/>
          <w:sz w:val="31"/>
          <w:szCs w:val="31"/>
        </w:rPr>
        <w:t>·</w:t>
      </w:r>
      <w:r>
        <w:rPr>
          <w:rFonts w:hint="default" w:ascii="Times New Roman" w:hAnsi="Times New Roman" w:eastAsia="仿宋_GB2312" w:cs="Times New Roman"/>
          <w:sz w:val="31"/>
          <w:szCs w:val="31"/>
        </w:rPr>
        <w:t>18</w:t>
      </w:r>
      <w:r>
        <w:rPr>
          <w:rFonts w:hint="eastAsia" w:ascii="仿宋_GB2312" w:eastAsia="仿宋_GB2312" w:cs="仿宋_GB2312"/>
          <w:sz w:val="31"/>
          <w:szCs w:val="31"/>
        </w:rPr>
        <w:t>”重大火灾事故整改和防范措施落实情况评估报告》、《齐齐哈尔第三十四中学校“</w:t>
      </w:r>
      <w:r>
        <w:rPr>
          <w:rFonts w:hint="default" w:ascii="Times New Roman" w:hAnsi="Times New Roman" w:eastAsia="仿宋_GB2312" w:cs="Times New Roman"/>
          <w:sz w:val="31"/>
          <w:szCs w:val="31"/>
        </w:rPr>
        <w:t>7</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23</w:t>
      </w:r>
      <w:r>
        <w:rPr>
          <w:rFonts w:hint="eastAsia" w:ascii="仿宋_GB2312" w:eastAsia="仿宋_GB2312" w:cs="仿宋_GB2312"/>
          <w:sz w:val="31"/>
          <w:szCs w:val="31"/>
        </w:rPr>
        <w:t>”重大坍塌事故调查报告》、《山东菏泽郓城锦绣城</w:t>
      </w:r>
      <w:r>
        <w:rPr>
          <w:rFonts w:hint="default" w:ascii="Times New Roman" w:hAnsi="Times New Roman" w:eastAsia="仿宋_GB2312" w:cs="Times New Roman"/>
          <w:sz w:val="31"/>
          <w:szCs w:val="31"/>
        </w:rPr>
        <w:t>E</w:t>
      </w:r>
      <w:r>
        <w:rPr>
          <w:rFonts w:hint="eastAsia" w:ascii="仿宋_GB2312" w:eastAsia="仿宋_GB2312" w:cs="仿宋_GB2312"/>
          <w:sz w:val="31"/>
          <w:szCs w:val="31"/>
        </w:rPr>
        <w:t>区建筑施工项目“</w:t>
      </w:r>
      <w:r>
        <w:rPr>
          <w:rFonts w:hint="default" w:ascii="Times New Roman" w:hAnsi="Times New Roman" w:eastAsia="仿宋_GB2312" w:cs="Times New Roman"/>
          <w:sz w:val="31"/>
          <w:szCs w:val="31"/>
        </w:rPr>
        <w:t>8</w:t>
      </w:r>
      <w:r>
        <w:rPr>
          <w:rFonts w:hint="eastAsia" w:ascii="仿宋_GB2312" w:eastAsia="仿宋_GB2312" w:cs="仿宋_GB2312"/>
          <w:sz w:val="31"/>
          <w:szCs w:val="31"/>
        </w:rPr>
        <w:t>·</w:t>
      </w:r>
      <w:r>
        <w:rPr>
          <w:rFonts w:hint="default" w:ascii="Times New Roman" w:hAnsi="Times New Roman" w:eastAsia="仿宋_GB2312" w:cs="Times New Roman"/>
          <w:sz w:val="31"/>
          <w:szCs w:val="31"/>
        </w:rPr>
        <w:t>15</w:t>
      </w:r>
      <w:r>
        <w:rPr>
          <w:rFonts w:hint="eastAsia" w:ascii="仿宋_GB2312" w:eastAsia="仿宋_GB2312" w:cs="仿宋_GB2312"/>
          <w:sz w:val="31"/>
          <w:szCs w:val="31"/>
        </w:rPr>
        <w:t>”较大高处坠落事故调查报告》、《地铁</w:t>
      </w:r>
      <w:r>
        <w:rPr>
          <w:rFonts w:hint="default" w:ascii="Times New Roman" w:hAnsi="Times New Roman" w:eastAsia="仿宋_GB2312" w:cs="Times New Roman"/>
          <w:sz w:val="31"/>
          <w:szCs w:val="31"/>
        </w:rPr>
        <w:t>4</w:t>
      </w:r>
      <w:r>
        <w:rPr>
          <w:rFonts w:hint="eastAsia" w:ascii="仿宋_GB2312" w:eastAsia="仿宋_GB2312" w:cs="仿宋_GB2312"/>
          <w:sz w:val="31"/>
          <w:szCs w:val="31"/>
        </w:rPr>
        <w:t>号线登州南路站“</w:t>
      </w:r>
      <w:r>
        <w:rPr>
          <w:rFonts w:hint="default" w:ascii="Times New Roman" w:hAnsi="Times New Roman" w:eastAsia="仿宋_GB2312" w:cs="Times New Roman"/>
          <w:sz w:val="31"/>
          <w:szCs w:val="31"/>
        </w:rPr>
        <w:t>10</w:t>
      </w:r>
      <w:r>
        <w:rPr>
          <w:rFonts w:hint="eastAsia" w:ascii="仿宋_GB2312" w:eastAsia="仿宋_GB2312" w:cs="仿宋_GB2312"/>
          <w:sz w:val="31"/>
          <w:szCs w:val="31"/>
        </w:rPr>
        <w:t>·</w:t>
      </w:r>
      <w:r>
        <w:rPr>
          <w:rFonts w:hint="default" w:ascii="Times New Roman" w:hAnsi="Times New Roman" w:eastAsia="仿宋_GB2312" w:cs="Times New Roman"/>
          <w:sz w:val="31"/>
          <w:szCs w:val="31"/>
        </w:rPr>
        <w:t>12</w:t>
      </w:r>
      <w:r>
        <w:rPr>
          <w:rFonts w:hint="eastAsia" w:ascii="仿宋_GB2312" w:eastAsia="仿宋_GB2312" w:cs="仿宋_GB2312"/>
          <w:sz w:val="31"/>
          <w:szCs w:val="31"/>
        </w:rPr>
        <w:t>”较大坍塌事故调查报告》。</w:t>
      </w:r>
    </w:p>
    <w:p w14:paraId="6D982B60">
      <w:pPr>
        <w:pStyle w:val="5"/>
        <w:keepNext w:val="0"/>
        <w:keepLines w:val="0"/>
        <w:widowControl/>
        <w:suppressLineNumbers w:val="0"/>
        <w:spacing w:line="315" w:lineRule="atLeast"/>
        <w:ind w:left="0" w:firstLine="645"/>
        <w:jc w:val="both"/>
      </w:pPr>
      <w:r>
        <w:rPr>
          <w:rFonts w:hint="default" w:ascii="Times New Roman" w:hAnsi="Times New Roman" w:eastAsia="仿宋_GB2312" w:cs="Times New Roman"/>
          <w:sz w:val="31"/>
          <w:szCs w:val="31"/>
        </w:rPr>
        <w:t>2</w:t>
      </w:r>
      <w:r>
        <w:rPr>
          <w:rFonts w:hint="eastAsia" w:ascii="仿宋_GB2312" w:eastAsia="仿宋_GB2312" w:cs="仿宋_GB2312"/>
          <w:sz w:val="31"/>
          <w:szCs w:val="31"/>
        </w:rPr>
        <w:t>、施工外力破坏燃气等地下管线事故。包括但不限于《宁夏银川富洋烧烤店“</w:t>
      </w:r>
      <w:r>
        <w:rPr>
          <w:rFonts w:hint="default" w:ascii="Times New Roman" w:hAnsi="Times New Roman" w:eastAsia="仿宋_GB2312" w:cs="Times New Roman"/>
          <w:sz w:val="31"/>
          <w:szCs w:val="31"/>
        </w:rPr>
        <w:t>6</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21</w:t>
      </w:r>
      <w:r>
        <w:rPr>
          <w:rFonts w:hint="eastAsia" w:ascii="仿宋_GB2312" w:eastAsia="仿宋_GB2312" w:cs="仿宋_GB2312"/>
          <w:sz w:val="31"/>
          <w:szCs w:val="31"/>
        </w:rPr>
        <w:t>”特别重大燃气爆炸事故调查报告》、《宁夏银川富洋烧烤店“</w:t>
      </w:r>
      <w:r>
        <w:rPr>
          <w:rFonts w:hint="default" w:ascii="Times New Roman" w:hAnsi="Times New Roman" w:eastAsia="仿宋_GB2312" w:cs="Times New Roman"/>
          <w:sz w:val="31"/>
          <w:szCs w:val="31"/>
        </w:rPr>
        <w:t>6</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21</w:t>
      </w:r>
      <w:r>
        <w:rPr>
          <w:rFonts w:hint="eastAsia" w:ascii="仿宋_GB2312" w:eastAsia="仿宋_GB2312" w:cs="仿宋_GB2312"/>
          <w:sz w:val="31"/>
          <w:szCs w:val="31"/>
        </w:rPr>
        <w:t>”特别重大燃气爆炸事故整改和防范措施落实情况评估报告》、《宝坻区北城东路“</w:t>
      </w:r>
      <w:r>
        <w:rPr>
          <w:rFonts w:hint="default" w:ascii="Times New Roman" w:hAnsi="Times New Roman" w:eastAsia="仿宋_GB2312" w:cs="Times New Roman"/>
          <w:sz w:val="31"/>
          <w:szCs w:val="31"/>
        </w:rPr>
        <w:t>6</w:t>
      </w:r>
      <w:r>
        <w:rPr>
          <w:rFonts w:hint="eastAsia" w:ascii="仿宋_GB2312" w:eastAsia="仿宋_GB2312" w:cs="仿宋_GB2312"/>
          <w:sz w:val="31"/>
          <w:szCs w:val="31"/>
        </w:rPr>
        <w:t>·</w:t>
      </w:r>
      <w:r>
        <w:rPr>
          <w:rFonts w:hint="default" w:ascii="Times New Roman" w:hAnsi="Times New Roman" w:eastAsia="仿宋_GB2312" w:cs="Times New Roman"/>
          <w:sz w:val="31"/>
          <w:szCs w:val="31"/>
        </w:rPr>
        <w:t>21</w:t>
      </w:r>
      <w:r>
        <w:rPr>
          <w:rFonts w:hint="eastAsia" w:ascii="仿宋_GB2312" w:eastAsia="仿宋_GB2312" w:cs="仿宋_GB2312"/>
          <w:sz w:val="31"/>
          <w:szCs w:val="31"/>
        </w:rPr>
        <w:t>”燃气闪爆事故调查报告》、《慈湖高新区“</w:t>
      </w:r>
      <w:r>
        <w:rPr>
          <w:rFonts w:hint="default" w:ascii="Times New Roman" w:hAnsi="Times New Roman" w:eastAsia="仿宋_GB2312" w:cs="Times New Roman"/>
          <w:sz w:val="31"/>
          <w:szCs w:val="31"/>
        </w:rPr>
        <w:t>4</w:t>
      </w:r>
      <w:r>
        <w:rPr>
          <w:rFonts w:hint="eastAsia" w:ascii="仿宋_GB2312" w:eastAsia="仿宋_GB2312" w:cs="仿宋_GB2312"/>
          <w:sz w:val="31"/>
          <w:szCs w:val="31"/>
        </w:rPr>
        <w:t>·</w:t>
      </w:r>
      <w:r>
        <w:rPr>
          <w:rFonts w:hint="default" w:ascii="Times New Roman" w:hAnsi="Times New Roman" w:eastAsia="仿宋_GB2312" w:cs="Times New Roman"/>
          <w:sz w:val="31"/>
          <w:szCs w:val="31"/>
        </w:rPr>
        <w:t>30</w:t>
      </w:r>
      <w:r>
        <w:rPr>
          <w:rFonts w:hint="eastAsia" w:ascii="仿宋_GB2312" w:eastAsia="仿宋_GB2312" w:cs="仿宋_GB2312"/>
          <w:sz w:val="31"/>
          <w:szCs w:val="31"/>
        </w:rPr>
        <w:t>”第三方施工损坏燃气管道事故调查报告》、《松原市“</w:t>
      </w:r>
      <w:r>
        <w:rPr>
          <w:rFonts w:hint="default" w:ascii="Times New Roman" w:hAnsi="Times New Roman" w:eastAsia="仿宋_GB2312" w:cs="Times New Roman"/>
          <w:sz w:val="31"/>
          <w:szCs w:val="31"/>
        </w:rPr>
        <w:t>7</w:t>
      </w:r>
      <w:r>
        <w:rPr>
          <w:rFonts w:hint="eastAsia" w:ascii="仿宋_GB2312" w:eastAsia="仿宋_GB2312" w:cs="仿宋_GB2312"/>
          <w:sz w:val="31"/>
          <w:szCs w:val="31"/>
        </w:rPr>
        <w:t>·</w:t>
      </w:r>
      <w:r>
        <w:rPr>
          <w:rFonts w:hint="default" w:ascii="Times New Roman" w:hAnsi="Times New Roman" w:eastAsia="仿宋_GB2312" w:cs="Times New Roman"/>
          <w:sz w:val="31"/>
          <w:szCs w:val="31"/>
        </w:rPr>
        <w:t>4</w:t>
      </w:r>
      <w:r>
        <w:rPr>
          <w:rFonts w:hint="eastAsia" w:ascii="仿宋_GB2312" w:eastAsia="仿宋_GB2312" w:cs="仿宋_GB2312"/>
          <w:sz w:val="31"/>
          <w:szCs w:val="31"/>
        </w:rPr>
        <w:t>”城市燃气管道泄漏爆炸较大事故调查报告》。</w:t>
      </w:r>
    </w:p>
    <w:p w14:paraId="0CCDD0CE">
      <w:pPr>
        <w:pStyle w:val="5"/>
        <w:keepNext w:val="0"/>
        <w:keepLines w:val="0"/>
        <w:widowControl/>
        <w:suppressLineNumbers w:val="0"/>
        <w:spacing w:line="315" w:lineRule="atLeast"/>
      </w:pPr>
    </w:p>
    <w:p w14:paraId="17232843">
      <w:pPr>
        <w:jc w:val="both"/>
        <w:rPr>
          <w:rFonts w:ascii="Times New Roman" w:hAnsi="Times New Roman" w:eastAsia="仿宋_GB2312"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52B1E"/>
    <w:rsid w:val="000163C6"/>
    <w:rsid w:val="00074091"/>
    <w:rsid w:val="000C5B7D"/>
    <w:rsid w:val="001C18E5"/>
    <w:rsid w:val="0065555B"/>
    <w:rsid w:val="00776DDF"/>
    <w:rsid w:val="0083421D"/>
    <w:rsid w:val="009C30CE"/>
    <w:rsid w:val="00A25043"/>
    <w:rsid w:val="00A26EAE"/>
    <w:rsid w:val="00C12BD2"/>
    <w:rsid w:val="00C52B1E"/>
    <w:rsid w:val="00C5458D"/>
    <w:rsid w:val="00C91BD9"/>
    <w:rsid w:val="00DF6BD6"/>
    <w:rsid w:val="00EA61BA"/>
    <w:rsid w:val="00FD7C1B"/>
    <w:rsid w:val="15A64FDD"/>
    <w:rsid w:val="162E162F"/>
    <w:rsid w:val="174D501D"/>
    <w:rsid w:val="1C8161DB"/>
    <w:rsid w:val="2F77423C"/>
    <w:rsid w:val="307863E9"/>
    <w:rsid w:val="465D443B"/>
    <w:rsid w:val="5A0F4B12"/>
    <w:rsid w:val="694C0BF2"/>
    <w:rsid w:val="77F4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日期 Char"/>
    <w:basedOn w:val="7"/>
    <w:link w:val="2"/>
    <w:semiHidden/>
    <w:qFormat/>
    <w:uiPriority w:val="99"/>
  </w:style>
  <w:style w:type="character" w:customStyle="1" w:styleId="13">
    <w:name w:val="font21"/>
    <w:basedOn w:val="7"/>
    <w:qFormat/>
    <w:uiPriority w:val="0"/>
    <w:rPr>
      <w:rFonts w:hint="eastAsia" w:ascii="仿宋" w:hAnsi="仿宋" w:eastAsia="仿宋" w:cs="仿宋"/>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2020</Words>
  <Characters>2051</Characters>
  <Lines>1</Lines>
  <Paragraphs>1</Paragraphs>
  <TotalTime>24</TotalTime>
  <ScaleCrop>false</ScaleCrop>
  <LinksUpToDate>false</LinksUpToDate>
  <CharactersWithSpaces>2051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2024-06-30T12:30:00Z</dcterms:created>
  <dc:creator>安 宋</dc:creator>
  <cp:lastModifiedBy>李静</cp:lastModifiedBy>
  <dcterms:modified xsi:type="dcterms:W3CDTF">2025-03-05T06:38:23Z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eyJoZGlkIjoiNjdjYjYxYTkwMmM1M2JkZTE1MzBlMjg5NjQyNDIxYzcifQ==</vt:lpwstr>
  </property>
  <property fmtid="{D5CDD505-2E9C-101B-9397-08002B2CF9AE}" pid="3" name="KSOProductBuildVer">
    <vt:lpwstr>2052-12.1.0.20305</vt:lpwstr>
  </property>
  <property fmtid="{D5CDD505-2E9C-101B-9397-08002B2CF9AE}" pid="4" name="ICV">
    <vt:lpwstr>D54ABAEE68084C3CB6FDDBC934550411_12</vt:lpwstr>
  </property>
</Properties>
</file>